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17" w:type="dxa"/>
        <w:tblInd w:w="108" w:type="dxa"/>
        <w:tblLayout w:type="fixed"/>
        <w:tblLook w:val="00A0" w:firstRow="1" w:lastRow="0" w:firstColumn="1" w:lastColumn="0" w:noHBand="0" w:noVBand="0"/>
      </w:tblPr>
      <w:tblGrid>
        <w:gridCol w:w="2410"/>
        <w:gridCol w:w="425"/>
        <w:gridCol w:w="6582"/>
      </w:tblGrid>
      <w:tr w:rsidR="005E1E4D" w:rsidRPr="007336B1" w14:paraId="3968BB49" w14:textId="77777777">
        <w:trPr>
          <w:trHeight w:val="2330"/>
        </w:trPr>
        <w:tc>
          <w:tcPr>
            <w:tcW w:w="2410" w:type="dxa"/>
            <w:tcBorders>
              <w:top w:val="nil"/>
              <w:left w:val="nil"/>
              <w:bottom w:val="nil"/>
              <w:right w:val="nil"/>
            </w:tcBorders>
          </w:tcPr>
          <w:p w14:paraId="743343EC" w14:textId="25360759" w:rsidR="005E1E4D" w:rsidRPr="007336B1" w:rsidRDefault="008B4A0E" w:rsidP="007336B1">
            <w:pPr>
              <w:spacing w:after="0" w:line="240" w:lineRule="auto"/>
            </w:pPr>
            <w:bookmarkStart w:id="0" w:name="_GoBack"/>
            <w:bookmarkEnd w:id="0"/>
            <w:r>
              <w:rPr>
                <w:noProof/>
                <w:lang w:val="en-US"/>
              </w:rPr>
              <w:drawing>
                <wp:anchor distT="0" distB="0" distL="114300" distR="114300" simplePos="0" relativeHeight="251658240" behindDoc="0" locked="0" layoutInCell="1" allowOverlap="1" wp14:anchorId="53644EF0" wp14:editId="43B8D7A7">
                  <wp:simplePos x="0" y="0"/>
                  <wp:positionH relativeFrom="column">
                    <wp:posOffset>91440</wp:posOffset>
                  </wp:positionH>
                  <wp:positionV relativeFrom="paragraph">
                    <wp:posOffset>-84455</wp:posOffset>
                  </wp:positionV>
                  <wp:extent cx="1217930" cy="1371600"/>
                  <wp:effectExtent l="0" t="0" r="1270" b="0"/>
                  <wp:wrapThrough wrapText="bothSides">
                    <wp:wrapPolygon edited="0">
                      <wp:start x="0" y="0"/>
                      <wp:lineTo x="0" y="21200"/>
                      <wp:lineTo x="21172" y="21200"/>
                      <wp:lineTo x="21172" y="0"/>
                      <wp:lineTo x="0"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930" cy="1371600"/>
                          </a:xfrm>
                          <a:prstGeom prst="rect">
                            <a:avLst/>
                          </a:prstGeom>
                          <a:noFill/>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6DC1A9FF" w14:textId="77777777" w:rsidR="005E1E4D" w:rsidRPr="00352A1D" w:rsidRDefault="005E1E4D" w:rsidP="00352A1D">
            <w:pPr>
              <w:pStyle w:val="HeadingName"/>
              <w:ind w:left="113"/>
              <w:rPr>
                <w:b/>
                <w:color w:val="31849B"/>
                <w:sz w:val="28"/>
              </w:rPr>
            </w:pPr>
          </w:p>
        </w:tc>
        <w:tc>
          <w:tcPr>
            <w:tcW w:w="6582" w:type="dxa"/>
            <w:vMerge w:val="restart"/>
            <w:tcBorders>
              <w:top w:val="nil"/>
              <w:left w:val="nil"/>
              <w:right w:val="nil"/>
            </w:tcBorders>
          </w:tcPr>
          <w:p w14:paraId="39A37FD1" w14:textId="77777777" w:rsidR="005E1E4D" w:rsidRPr="00352A1D" w:rsidRDefault="005E1E4D" w:rsidP="00801B6C">
            <w:pPr>
              <w:pStyle w:val="HeadingName"/>
              <w:spacing w:after="240"/>
              <w:rPr>
                <w:b/>
                <w:color w:val="31849B"/>
                <w:sz w:val="28"/>
              </w:rPr>
            </w:pPr>
            <w:r>
              <w:rPr>
                <w:b/>
                <w:color w:val="31849B"/>
                <w:sz w:val="28"/>
              </w:rPr>
              <w:t>Prof. Gordon H. COPP</w:t>
            </w:r>
          </w:p>
          <w:p w14:paraId="6B1D7CDA" w14:textId="0B45B26C" w:rsidR="005E1E4D" w:rsidRPr="00F639CE" w:rsidRDefault="00541DD7" w:rsidP="00E33D59">
            <w:pPr>
              <w:pStyle w:val="ParaIntroduction"/>
              <w:rPr>
                <w:rFonts w:ascii="Calibri" w:hAnsi="Calibri"/>
                <w:sz w:val="20"/>
              </w:rPr>
            </w:pPr>
            <w:r>
              <w:rPr>
                <w:rFonts w:ascii="Calibri" w:hAnsi="Calibri"/>
                <w:sz w:val="20"/>
              </w:rPr>
              <w:t>Gordon</w:t>
            </w:r>
            <w:r w:rsidRPr="00541DD7">
              <w:rPr>
                <w:rFonts w:ascii="Calibri" w:hAnsi="Calibri"/>
                <w:sz w:val="20"/>
              </w:rPr>
              <w:t xml:space="preserve"> has over 32 years experience in the environmental biology of freshwater fishes, encompassing early development, life-history traits, otter-fish interactions, invasion biology and non-native risk analysis. Following a post-doctoral fellowship with the Freshwater Biological Association and ten years of teaching and research as Reader in Ichthyology at the University of Hertfordshire, Prof. Copp joined Cefas in 2002 to lead research contracts on the environmental biology and risk analysis of non-native freshwater fishes, including development of internationally applied invasiveness screening kits (FISK, AS-ISK). He also participates in native fish conservation initiatives such as the Norfolk Biodiversity Action Plan for crucian carp and research on Eurasian otter diet and distributions. Prof. </w:t>
            </w:r>
            <w:proofErr w:type="spellStart"/>
            <w:r w:rsidRPr="00541DD7">
              <w:rPr>
                <w:rFonts w:ascii="Calibri" w:hAnsi="Calibri"/>
                <w:sz w:val="20"/>
              </w:rPr>
              <w:t>Copp’s</w:t>
            </w:r>
            <w:proofErr w:type="spellEnd"/>
            <w:r w:rsidRPr="00541DD7">
              <w:rPr>
                <w:rFonts w:ascii="Calibri" w:hAnsi="Calibri"/>
                <w:sz w:val="20"/>
              </w:rPr>
              <w:t xml:space="preserve"> R&amp;D, which involves both national and international partners, has been supported by Defra, the UK Environment Agency, British Council, the FSBI, and the Norfolk Biodiversity Partnership. He provides specialist advice to national and international organisations on various aspects of aquatic biological invasions (including Defra, the EC, CABI-International, ICES Working Group on Introductions and Transfers of Marine Organisms (WGITMO), the UK-TAG Alien Species Group for Water Framework Directive implementation). Prof. Copp is associate editor for the international, peer-review journals ‘Fisheries Management and Ecology’ and ‘Folia </w:t>
            </w:r>
            <w:proofErr w:type="spellStart"/>
            <w:r w:rsidRPr="00541DD7">
              <w:rPr>
                <w:rFonts w:ascii="Calibri" w:hAnsi="Calibri"/>
                <w:sz w:val="20"/>
              </w:rPr>
              <w:t>Zoologica</w:t>
            </w:r>
            <w:proofErr w:type="spellEnd"/>
            <w:r w:rsidRPr="00541DD7">
              <w:rPr>
                <w:rFonts w:ascii="Calibri" w:hAnsi="Calibri"/>
                <w:sz w:val="20"/>
              </w:rPr>
              <w:t>’.</w:t>
            </w:r>
          </w:p>
          <w:p w14:paraId="654BB66C" w14:textId="1D90D84D" w:rsidR="005E1E4D" w:rsidRDefault="005E1E4D" w:rsidP="00E33D59">
            <w:pPr>
              <w:pStyle w:val="ParaIntroduction"/>
              <w:rPr>
                <w:rFonts w:ascii="Calibri" w:hAnsi="Calibri"/>
                <w:sz w:val="20"/>
              </w:rPr>
            </w:pPr>
            <w:r>
              <w:rPr>
                <w:rFonts w:ascii="Calibri" w:hAnsi="Calibri"/>
                <w:sz w:val="20"/>
              </w:rPr>
              <w:t>Over the last 15</w:t>
            </w:r>
            <w:r w:rsidRPr="00F639CE">
              <w:rPr>
                <w:rFonts w:ascii="Calibri" w:hAnsi="Calibri"/>
                <w:sz w:val="20"/>
              </w:rPr>
              <w:t xml:space="preserve"> years, Gordon has expanded </w:t>
            </w:r>
            <w:r>
              <w:rPr>
                <w:rFonts w:ascii="Calibri" w:hAnsi="Calibri"/>
                <w:sz w:val="20"/>
              </w:rPr>
              <w:t xml:space="preserve">his research to include </w:t>
            </w:r>
            <w:r w:rsidR="00F7321C">
              <w:rPr>
                <w:rFonts w:ascii="Calibri" w:hAnsi="Calibri"/>
                <w:sz w:val="20"/>
              </w:rPr>
              <w:t xml:space="preserve">applications of </w:t>
            </w:r>
            <w:r>
              <w:rPr>
                <w:rFonts w:ascii="Calibri" w:hAnsi="Calibri"/>
                <w:sz w:val="20"/>
              </w:rPr>
              <w:t xml:space="preserve">molecular and telemetry tools, such as </w:t>
            </w:r>
            <w:r w:rsidR="00F7321C">
              <w:rPr>
                <w:rFonts w:ascii="Calibri" w:hAnsi="Calibri"/>
                <w:sz w:val="20"/>
              </w:rPr>
              <w:t xml:space="preserve">the development of </w:t>
            </w:r>
            <w:r w:rsidR="00AC4261">
              <w:rPr>
                <w:rFonts w:ascii="Calibri" w:hAnsi="Calibri"/>
                <w:sz w:val="20"/>
              </w:rPr>
              <w:t xml:space="preserve">environmental DNA </w:t>
            </w:r>
            <w:r w:rsidR="00F7321C">
              <w:rPr>
                <w:rFonts w:ascii="Calibri" w:hAnsi="Calibri"/>
                <w:sz w:val="20"/>
              </w:rPr>
              <w:t>methods to detect non-native</w:t>
            </w:r>
            <w:r w:rsidR="0019573A">
              <w:rPr>
                <w:rFonts w:ascii="Calibri" w:hAnsi="Calibri"/>
                <w:sz w:val="20"/>
              </w:rPr>
              <w:t xml:space="preserve"> and diadromous</w:t>
            </w:r>
            <w:r w:rsidR="00AC4261">
              <w:rPr>
                <w:rFonts w:ascii="Calibri" w:hAnsi="Calibri"/>
                <w:sz w:val="20"/>
              </w:rPr>
              <w:t xml:space="preserve"> species, </w:t>
            </w:r>
            <w:r w:rsidR="00F7321C">
              <w:rPr>
                <w:rFonts w:ascii="Calibri" w:hAnsi="Calibri"/>
                <w:sz w:val="20"/>
              </w:rPr>
              <w:t>and studies</w:t>
            </w:r>
            <w:r>
              <w:rPr>
                <w:rFonts w:ascii="Calibri" w:hAnsi="Calibri"/>
                <w:sz w:val="20"/>
              </w:rPr>
              <w:t xml:space="preserve"> of </w:t>
            </w:r>
            <w:r w:rsidR="00AC4261">
              <w:rPr>
                <w:rFonts w:ascii="Calibri" w:hAnsi="Calibri"/>
                <w:sz w:val="20"/>
              </w:rPr>
              <w:t>alien</w:t>
            </w:r>
            <w:r>
              <w:rPr>
                <w:rFonts w:ascii="Calibri" w:hAnsi="Calibri"/>
                <w:sz w:val="20"/>
              </w:rPr>
              <w:t xml:space="preserve"> species impacts on</w:t>
            </w:r>
            <w:r w:rsidR="00F7321C">
              <w:rPr>
                <w:rFonts w:ascii="Calibri" w:hAnsi="Calibri"/>
                <w:sz w:val="20"/>
              </w:rPr>
              <w:t>: i)</w:t>
            </w:r>
            <w:r>
              <w:rPr>
                <w:rFonts w:ascii="Calibri" w:hAnsi="Calibri"/>
                <w:sz w:val="20"/>
              </w:rPr>
              <w:t xml:space="preserve"> t</w:t>
            </w:r>
            <w:r w:rsidR="00F7321C">
              <w:rPr>
                <w:rFonts w:ascii="Calibri" w:hAnsi="Calibri"/>
                <w:sz w:val="20"/>
              </w:rPr>
              <w:t>he genetic character of crucians through hybridization and ii) native species trophy</w:t>
            </w:r>
            <w:r>
              <w:rPr>
                <w:rFonts w:ascii="Calibri" w:hAnsi="Calibri"/>
                <w:sz w:val="20"/>
              </w:rPr>
              <w:t xml:space="preserve"> </w:t>
            </w:r>
            <w:r w:rsidR="00F7321C">
              <w:rPr>
                <w:rFonts w:ascii="Calibri" w:hAnsi="Calibri"/>
                <w:sz w:val="20"/>
              </w:rPr>
              <w:t>using stable isotopes</w:t>
            </w:r>
            <w:r w:rsidRPr="00F639CE">
              <w:rPr>
                <w:rFonts w:ascii="Calibri" w:hAnsi="Calibri"/>
                <w:sz w:val="20"/>
              </w:rPr>
              <w:t xml:space="preserve">. </w:t>
            </w:r>
          </w:p>
          <w:p w14:paraId="24A2378F" w14:textId="30B7B608" w:rsidR="005E1E4D" w:rsidRPr="00F639CE" w:rsidRDefault="00867322" w:rsidP="00E33D59">
            <w:pPr>
              <w:pStyle w:val="ParaIntroduction"/>
              <w:rPr>
                <w:rFonts w:ascii="Calibri" w:hAnsi="Calibri"/>
                <w:sz w:val="20"/>
              </w:rPr>
            </w:pPr>
            <w:r w:rsidRPr="00BE216E">
              <w:rPr>
                <w:rFonts w:ascii="Calibri" w:hAnsi="Calibri"/>
                <w:sz w:val="20"/>
              </w:rPr>
              <w:t xml:space="preserve">Gordon is </w:t>
            </w:r>
            <w:r>
              <w:rPr>
                <w:rFonts w:ascii="Calibri" w:hAnsi="Calibri"/>
                <w:sz w:val="20"/>
              </w:rPr>
              <w:t xml:space="preserve">also </w:t>
            </w:r>
            <w:r w:rsidRPr="006A3367">
              <w:rPr>
                <w:rFonts w:ascii="Calibri" w:hAnsi="Calibri"/>
                <w:sz w:val="20"/>
              </w:rPr>
              <w:t>adjunct professor at Trent Univ. (Canada),</w:t>
            </w:r>
            <w:r>
              <w:rPr>
                <w:rFonts w:ascii="Calibri" w:hAnsi="Calibri"/>
                <w:sz w:val="20"/>
              </w:rPr>
              <w:t xml:space="preserve"> </w:t>
            </w:r>
            <w:r w:rsidRPr="00BE216E">
              <w:rPr>
                <w:rFonts w:ascii="Calibri" w:hAnsi="Calibri"/>
                <w:sz w:val="20"/>
              </w:rPr>
              <w:t>visiting professor and supervisor of PhD students at Bournemouth Un</w:t>
            </w:r>
            <w:r>
              <w:rPr>
                <w:rFonts w:ascii="Calibri" w:hAnsi="Calibri"/>
                <w:sz w:val="20"/>
              </w:rPr>
              <w:t>iv. (UK),</w:t>
            </w:r>
            <w:r w:rsidR="00541DD7">
              <w:rPr>
                <w:rFonts w:ascii="Calibri" w:hAnsi="Calibri"/>
                <w:sz w:val="20"/>
              </w:rPr>
              <w:t xml:space="preserve"> a Research Fellow at the University of </w:t>
            </w:r>
            <w:r w:rsidR="00541DD7">
              <w:rPr>
                <w:rFonts w:ascii="Calibri" w:hAnsi="Calibri"/>
                <w:sz w:val="20"/>
                <w:lang w:val="pl-PL"/>
              </w:rPr>
              <w:t>Ł</w:t>
            </w:r>
            <w:proofErr w:type="spellStart"/>
            <w:r w:rsidR="00541DD7">
              <w:rPr>
                <w:rFonts w:ascii="Calibri" w:hAnsi="Calibri"/>
                <w:sz w:val="20"/>
              </w:rPr>
              <w:t>ódź</w:t>
            </w:r>
            <w:proofErr w:type="spellEnd"/>
            <w:r w:rsidR="00541DD7">
              <w:rPr>
                <w:rFonts w:ascii="Calibri" w:hAnsi="Calibri"/>
                <w:sz w:val="20"/>
              </w:rPr>
              <w:t xml:space="preserve"> (Poland),</w:t>
            </w:r>
            <w:r>
              <w:rPr>
                <w:rFonts w:ascii="Calibri" w:hAnsi="Calibri"/>
                <w:sz w:val="20"/>
              </w:rPr>
              <w:t xml:space="preserve"> and external examiner of European research units and PhDs in the UK and Europe</w:t>
            </w:r>
            <w:r w:rsidRPr="00BE216E">
              <w:rPr>
                <w:rFonts w:ascii="Calibri" w:hAnsi="Calibri"/>
                <w:sz w:val="20"/>
              </w:rPr>
              <w:t>.</w:t>
            </w:r>
          </w:p>
          <w:p w14:paraId="7E3A391E" w14:textId="77777777" w:rsidR="005E1E4D" w:rsidRPr="00C04FFF" w:rsidRDefault="005E1E4D" w:rsidP="00801B6C">
            <w:pPr>
              <w:pStyle w:val="ParaIntroduction"/>
              <w:spacing w:before="240" w:after="120"/>
              <w:rPr>
                <w:rFonts w:ascii="Calibri" w:hAnsi="Calibri"/>
                <w:b/>
                <w:color w:val="31849B"/>
                <w:sz w:val="22"/>
              </w:rPr>
            </w:pPr>
            <w:r w:rsidRPr="00C04FFF">
              <w:rPr>
                <w:rFonts w:ascii="Calibri" w:hAnsi="Calibri"/>
                <w:b/>
                <w:color w:val="31849B"/>
                <w:sz w:val="22"/>
              </w:rPr>
              <w:t>RELEVANT EXPERIENCE</w:t>
            </w:r>
          </w:p>
          <w:p w14:paraId="1AAE41BE" w14:textId="77777777" w:rsidR="005E1E4D" w:rsidRDefault="005E1E4D" w:rsidP="00801B6C">
            <w:pPr>
              <w:pStyle w:val="HeadingMinor"/>
              <w:spacing w:before="0" w:after="60"/>
              <w:rPr>
                <w:rFonts w:ascii="Calibri" w:hAnsi="Calibri"/>
                <w:b w:val="0"/>
              </w:rPr>
            </w:pPr>
            <w:r>
              <w:rPr>
                <w:rFonts w:ascii="Calibri" w:hAnsi="Calibri"/>
              </w:rPr>
              <w:t>Research and advice on the r</w:t>
            </w:r>
            <w:r w:rsidRPr="008A2D5B">
              <w:rPr>
                <w:rFonts w:ascii="Calibri" w:hAnsi="Calibri"/>
              </w:rPr>
              <w:t>isks and impacts of non-native fishes</w:t>
            </w:r>
            <w:r>
              <w:rPr>
                <w:rFonts w:ascii="Calibri" w:hAnsi="Calibri"/>
                <w:b w:val="0"/>
              </w:rPr>
              <w:t xml:space="preserve"> </w:t>
            </w:r>
          </w:p>
          <w:p w14:paraId="2A1CC3A8" w14:textId="77777777" w:rsidR="005E1E4D" w:rsidRDefault="005E1E4D" w:rsidP="00801B6C">
            <w:pPr>
              <w:pStyle w:val="HeadingMinor"/>
              <w:spacing w:before="0"/>
              <w:rPr>
                <w:rFonts w:ascii="Calibri" w:hAnsi="Calibri"/>
                <w:b w:val="0"/>
              </w:rPr>
            </w:pPr>
            <w:r>
              <w:rPr>
                <w:rFonts w:ascii="Calibri" w:hAnsi="Calibri"/>
                <w:b w:val="0"/>
              </w:rPr>
              <w:t>As an advisor to Defra and a member of the GB Non-Native Risk Analysis Panel (NNRAP), which undertakes peer-review of non-native species risk assessments, Gordon’s research focuses on the potential risks posed by non-native freshwater fishes and involves the development of risk analysis protocols for the screening and full assessment of non-native aquatic species.</w:t>
            </w:r>
          </w:p>
          <w:p w14:paraId="2C8ACF43" w14:textId="77777777" w:rsidR="005E1E4D" w:rsidRDefault="005E1E4D" w:rsidP="00801B6C">
            <w:pPr>
              <w:pStyle w:val="HeadingMinor"/>
              <w:spacing w:after="60"/>
              <w:rPr>
                <w:rFonts w:ascii="Calibri" w:hAnsi="Calibri"/>
              </w:rPr>
            </w:pPr>
            <w:r>
              <w:rPr>
                <w:rFonts w:ascii="Calibri" w:hAnsi="Calibri"/>
              </w:rPr>
              <w:t xml:space="preserve">Detection of non-native species from environmental DNA </w:t>
            </w:r>
          </w:p>
          <w:p w14:paraId="643DFEE6" w14:textId="450101FB" w:rsidR="005E1E4D" w:rsidRPr="00BE216E" w:rsidRDefault="005E1E4D" w:rsidP="00DA1A87">
            <w:pPr>
              <w:pStyle w:val="HeadingMinor"/>
              <w:spacing w:before="0"/>
              <w:rPr>
                <w:rFonts w:ascii="Calibri" w:hAnsi="Calibri"/>
              </w:rPr>
            </w:pPr>
            <w:r>
              <w:rPr>
                <w:rFonts w:ascii="Calibri" w:hAnsi="Calibri"/>
                <w:b w:val="0"/>
              </w:rPr>
              <w:t xml:space="preserve">Gordon is contract leader for a project to adapt and develop methods for the early detection of non-native </w:t>
            </w:r>
            <w:r w:rsidR="00DA1A87">
              <w:rPr>
                <w:rFonts w:ascii="Calibri" w:hAnsi="Calibri"/>
                <w:b w:val="0"/>
              </w:rPr>
              <w:t xml:space="preserve">fish </w:t>
            </w:r>
            <w:r>
              <w:rPr>
                <w:rFonts w:ascii="Calibri" w:hAnsi="Calibri"/>
                <w:b w:val="0"/>
              </w:rPr>
              <w:t>species from the DNA found in water samples. The outcome of the</w:t>
            </w:r>
            <w:r w:rsidR="00DA1A87">
              <w:rPr>
                <w:rFonts w:ascii="Calibri" w:hAnsi="Calibri"/>
                <w:b w:val="0"/>
              </w:rPr>
              <w:t>se</w:t>
            </w:r>
            <w:r>
              <w:rPr>
                <w:rFonts w:ascii="Calibri" w:hAnsi="Calibri"/>
                <w:b w:val="0"/>
              </w:rPr>
              <w:t xml:space="preserve"> project</w:t>
            </w:r>
            <w:r w:rsidR="00DA1A87">
              <w:rPr>
                <w:rFonts w:ascii="Calibri" w:hAnsi="Calibri"/>
                <w:b w:val="0"/>
              </w:rPr>
              <w:t>s</w:t>
            </w:r>
            <w:r>
              <w:rPr>
                <w:rFonts w:ascii="Calibri" w:hAnsi="Calibri"/>
                <w:b w:val="0"/>
              </w:rPr>
              <w:t xml:space="preserve"> will provide a means of early forecasting of new species invasions, </w:t>
            </w:r>
            <w:r w:rsidR="00DA1A87">
              <w:rPr>
                <w:rFonts w:ascii="Calibri" w:hAnsi="Calibri"/>
                <w:b w:val="0"/>
              </w:rPr>
              <w:t xml:space="preserve">the evaluation of the efficacy of invasive fish eradications, </w:t>
            </w:r>
            <w:r>
              <w:rPr>
                <w:rFonts w:ascii="Calibri" w:hAnsi="Calibri"/>
                <w:b w:val="0"/>
              </w:rPr>
              <w:t>with potential applications in compliance (e.g. ballast water convention</w:t>
            </w:r>
            <w:r w:rsidR="006E30F4">
              <w:rPr>
                <w:rFonts w:ascii="Calibri" w:hAnsi="Calibri"/>
                <w:b w:val="0"/>
              </w:rPr>
              <w:t>, non-native species detection</w:t>
            </w:r>
            <w:r>
              <w:rPr>
                <w:rFonts w:ascii="Calibri" w:hAnsi="Calibri"/>
                <w:b w:val="0"/>
              </w:rPr>
              <w:t>) and management (e.g. rapid response/eradication</w:t>
            </w:r>
            <w:r w:rsidR="00DA1A87">
              <w:rPr>
                <w:rFonts w:ascii="Calibri" w:hAnsi="Calibri"/>
                <w:b w:val="0"/>
              </w:rPr>
              <w:t>/control and containment</w:t>
            </w:r>
            <w:r>
              <w:rPr>
                <w:rFonts w:ascii="Calibri" w:hAnsi="Calibri"/>
                <w:b w:val="0"/>
              </w:rPr>
              <w:t>).</w:t>
            </w:r>
          </w:p>
        </w:tc>
      </w:tr>
      <w:tr w:rsidR="005E1E4D" w:rsidRPr="007336B1" w14:paraId="3F784C75" w14:textId="77777777">
        <w:trPr>
          <w:trHeight w:val="10838"/>
        </w:trPr>
        <w:tc>
          <w:tcPr>
            <w:tcW w:w="2410" w:type="dxa"/>
            <w:tcBorders>
              <w:top w:val="nil"/>
              <w:left w:val="nil"/>
              <w:bottom w:val="nil"/>
              <w:right w:val="nil"/>
            </w:tcBorders>
            <w:shd w:val="clear" w:color="auto" w:fill="B6DDE8"/>
          </w:tcPr>
          <w:p w14:paraId="2C89C080" w14:textId="7E4D8233" w:rsidR="004E6A95" w:rsidRDefault="004E6A95" w:rsidP="004E6A95">
            <w:pPr>
              <w:pStyle w:val="HeadingInfo"/>
              <w:spacing w:before="0" w:after="0"/>
              <w:rPr>
                <w:rFonts w:ascii="Calibri" w:hAnsi="Calibri"/>
                <w:b/>
                <w:sz w:val="22"/>
              </w:rPr>
            </w:pPr>
            <w:r w:rsidRPr="007A2311">
              <w:rPr>
                <w:rFonts w:ascii="Calibri" w:hAnsi="Calibri"/>
                <w:b/>
                <w:sz w:val="22"/>
              </w:rPr>
              <w:t>POSITION</w:t>
            </w:r>
          </w:p>
          <w:p w14:paraId="3BAAB888" w14:textId="77777777" w:rsidR="004E6A95" w:rsidRDefault="004E6A95" w:rsidP="004E6A95">
            <w:pPr>
              <w:pStyle w:val="HeadingInfo"/>
              <w:spacing w:before="0" w:after="0"/>
              <w:rPr>
                <w:rFonts w:ascii="Calibri" w:hAnsi="Calibri"/>
                <w:b/>
                <w:sz w:val="22"/>
              </w:rPr>
            </w:pPr>
            <w:r>
              <w:rPr>
                <w:rFonts w:ascii="Calibri" w:hAnsi="Calibri"/>
                <w:b/>
                <w:sz w:val="22"/>
              </w:rPr>
              <w:t>Principal Scientist in Fish Biology</w:t>
            </w:r>
          </w:p>
          <w:p w14:paraId="1F75FE91" w14:textId="77777777" w:rsidR="004E6A95" w:rsidRDefault="004E6A95" w:rsidP="004E6A95">
            <w:pPr>
              <w:pStyle w:val="HeadingInfo"/>
              <w:spacing w:before="0" w:after="0"/>
              <w:rPr>
                <w:rFonts w:ascii="Calibri" w:hAnsi="Calibri"/>
                <w:b/>
                <w:sz w:val="22"/>
              </w:rPr>
            </w:pPr>
          </w:p>
          <w:p w14:paraId="0CB3CD42" w14:textId="77777777" w:rsidR="004E6A95" w:rsidRDefault="004E6A95" w:rsidP="004E6A95">
            <w:pPr>
              <w:pStyle w:val="HeadingInfo"/>
              <w:spacing w:before="0"/>
              <w:rPr>
                <w:rFonts w:ascii="Calibri" w:hAnsi="Calibri"/>
                <w:b/>
                <w:sz w:val="22"/>
              </w:rPr>
            </w:pPr>
            <w:r w:rsidRPr="007A2311">
              <w:rPr>
                <w:rFonts w:ascii="Calibri" w:hAnsi="Calibri"/>
                <w:b/>
                <w:sz w:val="22"/>
              </w:rPr>
              <w:t>QUALIFICATIONS</w:t>
            </w:r>
          </w:p>
          <w:p w14:paraId="68D60283" w14:textId="77777777" w:rsidR="004E6A95" w:rsidRDefault="004E6A95" w:rsidP="004E6A95">
            <w:pPr>
              <w:pStyle w:val="ParaMargin"/>
              <w:spacing w:after="0"/>
              <w:rPr>
                <w:rFonts w:ascii="Calibri" w:hAnsi="Calibri"/>
              </w:rPr>
            </w:pPr>
            <w:proofErr w:type="spellStart"/>
            <w:r>
              <w:rPr>
                <w:rFonts w:ascii="Calibri" w:hAnsi="Calibri"/>
              </w:rPr>
              <w:t>Habilitation</w:t>
            </w:r>
            <w:proofErr w:type="spellEnd"/>
            <w:r>
              <w:rPr>
                <w:rFonts w:ascii="Calibri" w:hAnsi="Calibri"/>
              </w:rPr>
              <w:t xml:space="preserve"> (Ichthyology)</w:t>
            </w:r>
            <w:r w:rsidRPr="002643C5">
              <w:rPr>
                <w:rFonts w:ascii="Calibri" w:hAnsi="Calibri"/>
              </w:rPr>
              <w:t xml:space="preserve"> </w:t>
            </w:r>
          </w:p>
          <w:p w14:paraId="752B5BDD" w14:textId="77777777" w:rsidR="004E6A95" w:rsidRDefault="004E6A95" w:rsidP="004E6A95">
            <w:pPr>
              <w:pStyle w:val="ParaMargin"/>
              <w:spacing w:after="0"/>
              <w:rPr>
                <w:rFonts w:ascii="Calibri" w:hAnsi="Calibri"/>
              </w:rPr>
            </w:pPr>
            <w:r w:rsidRPr="002643C5">
              <w:rPr>
                <w:rFonts w:ascii="Calibri" w:hAnsi="Calibri"/>
              </w:rPr>
              <w:t xml:space="preserve">PhD </w:t>
            </w:r>
            <w:r>
              <w:rPr>
                <w:rFonts w:ascii="Calibri" w:hAnsi="Calibri"/>
              </w:rPr>
              <w:t>(Fish Ecology)</w:t>
            </w:r>
          </w:p>
          <w:p w14:paraId="1B702C4B" w14:textId="77777777" w:rsidR="004E6A95" w:rsidRPr="002643C5" w:rsidRDefault="004E6A95" w:rsidP="004E6A95">
            <w:pPr>
              <w:pStyle w:val="ParaMargin"/>
              <w:spacing w:after="0"/>
              <w:rPr>
                <w:rFonts w:ascii="Calibri" w:hAnsi="Calibri"/>
              </w:rPr>
            </w:pPr>
            <w:proofErr w:type="spellStart"/>
            <w:r>
              <w:rPr>
                <w:rFonts w:ascii="Calibri" w:hAnsi="Calibri"/>
              </w:rPr>
              <w:t>PgD</w:t>
            </w:r>
            <w:proofErr w:type="spellEnd"/>
            <w:r>
              <w:rPr>
                <w:rFonts w:ascii="Calibri" w:hAnsi="Calibri"/>
              </w:rPr>
              <w:t xml:space="preserve"> (Env Sci &amp; </w:t>
            </w:r>
            <w:proofErr w:type="spellStart"/>
            <w:r>
              <w:rPr>
                <w:rFonts w:ascii="Calibri" w:hAnsi="Calibri"/>
              </w:rPr>
              <w:t>Technol</w:t>
            </w:r>
            <w:proofErr w:type="spellEnd"/>
            <w:r>
              <w:rPr>
                <w:rFonts w:ascii="Calibri" w:hAnsi="Calibri"/>
              </w:rPr>
              <w:t>)</w:t>
            </w:r>
          </w:p>
          <w:p w14:paraId="395FE83A" w14:textId="77777777" w:rsidR="004E6A95" w:rsidRPr="002643C5" w:rsidRDefault="004E6A95" w:rsidP="004E6A95">
            <w:pPr>
              <w:pStyle w:val="ParaMargin"/>
              <w:spacing w:after="0"/>
              <w:rPr>
                <w:rFonts w:ascii="Calibri" w:hAnsi="Calibri"/>
              </w:rPr>
            </w:pPr>
            <w:r w:rsidRPr="002643C5">
              <w:rPr>
                <w:rFonts w:ascii="Calibri" w:hAnsi="Calibri"/>
              </w:rPr>
              <w:t>BSc</w:t>
            </w:r>
            <w:r>
              <w:rPr>
                <w:rFonts w:ascii="Calibri" w:hAnsi="Calibri"/>
              </w:rPr>
              <w:t xml:space="preserve"> (Biology/Env Studies)</w:t>
            </w:r>
          </w:p>
          <w:p w14:paraId="2F5CCEA4" w14:textId="77777777" w:rsidR="004E6A95" w:rsidRPr="002643C5" w:rsidRDefault="004E6A95" w:rsidP="004E6A95">
            <w:pPr>
              <w:pStyle w:val="HeadingInfo"/>
              <w:spacing w:before="0" w:after="0"/>
              <w:rPr>
                <w:rFonts w:ascii="Calibri" w:hAnsi="Calibri"/>
                <w:sz w:val="20"/>
              </w:rPr>
            </w:pPr>
          </w:p>
          <w:p w14:paraId="16702DB1" w14:textId="77777777" w:rsidR="004E6A95" w:rsidRDefault="004E6A95" w:rsidP="004E6A95">
            <w:pPr>
              <w:pStyle w:val="HeadingInfo"/>
              <w:spacing w:before="0"/>
              <w:rPr>
                <w:rFonts w:ascii="Calibri" w:hAnsi="Calibri"/>
                <w:b/>
                <w:sz w:val="22"/>
              </w:rPr>
            </w:pPr>
            <w:r>
              <w:rPr>
                <w:rFonts w:ascii="Calibri" w:hAnsi="Calibri"/>
                <w:b/>
                <w:sz w:val="22"/>
              </w:rPr>
              <w:t>AFFILIATIONS &amp; AWARDS</w:t>
            </w:r>
          </w:p>
          <w:p w14:paraId="52FC545B" w14:textId="77777777" w:rsidR="00CD4543" w:rsidRDefault="00CD4543" w:rsidP="00CD4543">
            <w:pPr>
              <w:pStyle w:val="HeadingInfo"/>
              <w:spacing w:before="0" w:after="0"/>
              <w:rPr>
                <w:rFonts w:ascii="Calibri" w:hAnsi="Calibri" w:cs="Arial"/>
                <w:sz w:val="20"/>
                <w:lang w:eastAsia="en-GB"/>
              </w:rPr>
            </w:pPr>
            <w:r>
              <w:rPr>
                <w:rFonts w:ascii="Calibri" w:hAnsi="Calibri" w:cs="Arial"/>
                <w:sz w:val="20"/>
                <w:lang w:eastAsia="en-GB"/>
              </w:rPr>
              <w:t xml:space="preserve">•Visiting Professor, Bournemouth </w:t>
            </w:r>
            <w:proofErr w:type="spellStart"/>
            <w:r>
              <w:rPr>
                <w:rFonts w:ascii="Calibri" w:hAnsi="Calibri" w:cs="Arial"/>
                <w:sz w:val="20"/>
                <w:lang w:eastAsia="en-GB"/>
              </w:rPr>
              <w:t>Univ</w:t>
            </w:r>
            <w:proofErr w:type="spellEnd"/>
            <w:r>
              <w:rPr>
                <w:rFonts w:ascii="Calibri" w:hAnsi="Calibri" w:cs="Arial"/>
                <w:sz w:val="20"/>
                <w:lang w:eastAsia="en-GB"/>
              </w:rPr>
              <w:t xml:space="preserve"> (UK)</w:t>
            </w:r>
          </w:p>
          <w:p w14:paraId="353CFBF4" w14:textId="77777777" w:rsidR="00CD4543" w:rsidRDefault="00CD4543" w:rsidP="00CD4543">
            <w:pPr>
              <w:pStyle w:val="HeadingInfo"/>
              <w:spacing w:before="0" w:after="0"/>
              <w:rPr>
                <w:rFonts w:ascii="Calibri" w:hAnsi="Calibri" w:cs="Arial"/>
                <w:sz w:val="20"/>
                <w:lang w:eastAsia="en-GB"/>
              </w:rPr>
            </w:pPr>
            <w:r>
              <w:rPr>
                <w:rFonts w:ascii="Calibri" w:hAnsi="Calibri" w:cs="Arial"/>
                <w:sz w:val="20"/>
                <w:lang w:eastAsia="en-GB"/>
              </w:rPr>
              <w:t>•Adjunct Professor, Trent University (Canada)</w:t>
            </w:r>
          </w:p>
          <w:p w14:paraId="7F9A91C2" w14:textId="77777777" w:rsidR="00CD4543" w:rsidRDefault="00CD4543" w:rsidP="00CD4543">
            <w:pPr>
              <w:pStyle w:val="HeadingInfo"/>
              <w:spacing w:before="0" w:after="0"/>
              <w:rPr>
                <w:rFonts w:ascii="Calibri" w:hAnsi="Calibri" w:cs="Arial"/>
                <w:sz w:val="20"/>
                <w:lang w:eastAsia="en-GB"/>
              </w:rPr>
            </w:pPr>
            <w:r>
              <w:rPr>
                <w:rFonts w:ascii="Calibri" w:hAnsi="Calibri" w:cs="Arial"/>
                <w:sz w:val="20"/>
                <w:lang w:eastAsia="en-GB"/>
              </w:rPr>
              <w:t xml:space="preserve">•External Research Fellow, </w:t>
            </w:r>
            <w:proofErr w:type="spellStart"/>
            <w:r>
              <w:rPr>
                <w:rFonts w:ascii="Calibri" w:hAnsi="Calibri" w:cs="Arial"/>
                <w:sz w:val="20"/>
                <w:lang w:eastAsia="en-GB"/>
              </w:rPr>
              <w:t>Univ</w:t>
            </w:r>
            <w:proofErr w:type="spellEnd"/>
            <w:r>
              <w:rPr>
                <w:rFonts w:ascii="Calibri" w:hAnsi="Calibri" w:cs="Arial"/>
                <w:sz w:val="20"/>
                <w:lang w:eastAsia="en-GB"/>
              </w:rPr>
              <w:t xml:space="preserve"> </w:t>
            </w:r>
            <w:r>
              <w:rPr>
                <w:rFonts w:ascii="Calibri" w:hAnsi="Calibri" w:cs="Arial"/>
                <w:sz w:val="20"/>
                <w:lang w:val="pl-PL" w:eastAsia="en-GB"/>
              </w:rPr>
              <w:t>Ł</w:t>
            </w:r>
            <w:proofErr w:type="spellStart"/>
            <w:r>
              <w:rPr>
                <w:rFonts w:ascii="Calibri" w:hAnsi="Calibri" w:cs="Arial"/>
                <w:sz w:val="20"/>
                <w:lang w:eastAsia="en-GB"/>
              </w:rPr>
              <w:t>ódź</w:t>
            </w:r>
            <w:proofErr w:type="spellEnd"/>
            <w:r>
              <w:rPr>
                <w:rFonts w:ascii="Calibri" w:hAnsi="Calibri" w:cs="Arial"/>
                <w:sz w:val="20"/>
                <w:lang w:eastAsia="en-GB"/>
              </w:rPr>
              <w:t xml:space="preserve"> (Poland) •Associate Editor: Fisheries Management &amp; Ecology, </w:t>
            </w:r>
          </w:p>
          <w:p w14:paraId="67D6C2AD" w14:textId="77777777" w:rsidR="00CD4543" w:rsidRDefault="00CD4543" w:rsidP="00CD4543">
            <w:pPr>
              <w:pStyle w:val="HeadingInfo"/>
              <w:spacing w:before="0" w:after="0"/>
              <w:rPr>
                <w:rFonts w:ascii="Calibri" w:hAnsi="Calibri" w:cs="Arial"/>
                <w:sz w:val="20"/>
                <w:lang w:eastAsia="en-GB"/>
              </w:rPr>
            </w:pPr>
            <w:r>
              <w:rPr>
                <w:rFonts w:ascii="Calibri" w:hAnsi="Calibri" w:cs="Arial"/>
                <w:sz w:val="20"/>
                <w:lang w:eastAsia="en-GB"/>
              </w:rPr>
              <w:t>•Guest Editor to 4 journals</w:t>
            </w:r>
          </w:p>
          <w:p w14:paraId="34F742C9" w14:textId="77777777" w:rsidR="00CD4543" w:rsidRPr="00940960" w:rsidRDefault="00CD4543" w:rsidP="00CD4543">
            <w:pPr>
              <w:pStyle w:val="HeadingInfo"/>
              <w:spacing w:before="0" w:after="0"/>
              <w:rPr>
                <w:rFonts w:ascii="Calibri" w:hAnsi="Calibri" w:cs="Arial"/>
                <w:sz w:val="20"/>
                <w:lang w:eastAsia="en-GB"/>
              </w:rPr>
            </w:pPr>
            <w:r>
              <w:rPr>
                <w:rFonts w:ascii="Calibri" w:hAnsi="Calibri" w:cs="Arial"/>
                <w:sz w:val="20"/>
                <w:lang w:eastAsia="en-GB"/>
              </w:rPr>
              <w:t>•</w:t>
            </w:r>
            <w:r w:rsidRPr="007C41C0">
              <w:rPr>
                <w:rFonts w:ascii="Calibri" w:hAnsi="Calibri" w:cs="Arial"/>
                <w:sz w:val="20"/>
                <w:lang w:eastAsia="en-GB"/>
              </w:rPr>
              <w:t xml:space="preserve">FSBI </w:t>
            </w:r>
            <w:r>
              <w:rPr>
                <w:rFonts w:ascii="Calibri" w:hAnsi="Calibri" w:cs="Arial"/>
                <w:sz w:val="20"/>
                <w:lang w:eastAsia="en-GB"/>
              </w:rPr>
              <w:t>Treasurer (2005–13)</w:t>
            </w:r>
          </w:p>
          <w:p w14:paraId="0EAF2833" w14:textId="0CC9EDFE" w:rsidR="004E6A95" w:rsidRPr="00B7397D" w:rsidRDefault="00CD4543" w:rsidP="00CD4543">
            <w:pPr>
              <w:pStyle w:val="HeadingInfo"/>
              <w:spacing w:before="0" w:after="0"/>
              <w:rPr>
                <w:rFonts w:ascii="Calibri" w:hAnsi="Calibri" w:cs="Arial"/>
                <w:sz w:val="20"/>
                <w:lang w:eastAsia="en-GB"/>
              </w:rPr>
            </w:pPr>
            <w:r>
              <w:rPr>
                <w:rFonts w:ascii="Calibri" w:hAnsi="Calibri" w:cs="Arial"/>
                <w:sz w:val="20"/>
                <w:lang w:eastAsia="en-GB"/>
              </w:rPr>
              <w:t>• ‘</w:t>
            </w:r>
            <w:r w:rsidRPr="00633BB1">
              <w:rPr>
                <w:rFonts w:ascii="Calibri" w:hAnsi="Calibri" w:cs="Arial"/>
                <w:i/>
                <w:sz w:val="20"/>
                <w:lang w:eastAsia="en-GB"/>
              </w:rPr>
              <w:t xml:space="preserve">Universitatis </w:t>
            </w:r>
            <w:proofErr w:type="spellStart"/>
            <w:r w:rsidRPr="00633BB1">
              <w:rPr>
                <w:rFonts w:ascii="Calibri" w:hAnsi="Calibri" w:cs="Arial"/>
                <w:i/>
                <w:sz w:val="20"/>
                <w:lang w:eastAsia="en-GB"/>
              </w:rPr>
              <w:t>Lodziensis</w:t>
            </w:r>
            <w:proofErr w:type="spellEnd"/>
            <w:r w:rsidRPr="00633BB1">
              <w:rPr>
                <w:rFonts w:ascii="Calibri" w:hAnsi="Calibri" w:cs="Arial"/>
                <w:i/>
                <w:sz w:val="20"/>
                <w:lang w:eastAsia="en-GB"/>
              </w:rPr>
              <w:t xml:space="preserve"> Amico</w:t>
            </w:r>
            <w:r w:rsidRPr="00633BB1">
              <w:rPr>
                <w:rFonts w:ascii="Calibri" w:hAnsi="Calibri" w:cs="Arial"/>
                <w:sz w:val="20"/>
                <w:lang w:eastAsia="en-GB"/>
              </w:rPr>
              <w:t xml:space="preserve">’ </w:t>
            </w:r>
            <w:r>
              <w:rPr>
                <w:rFonts w:ascii="Calibri" w:hAnsi="Calibri" w:cs="Arial"/>
                <w:sz w:val="20"/>
                <w:lang w:eastAsia="en-GB"/>
              </w:rPr>
              <w:t>medal (</w:t>
            </w:r>
            <w:r w:rsidRPr="00633BB1">
              <w:rPr>
                <w:rFonts w:ascii="Calibri" w:hAnsi="Calibri" w:cs="Arial"/>
                <w:sz w:val="20"/>
                <w:lang w:eastAsia="en-GB"/>
              </w:rPr>
              <w:t>2011)</w:t>
            </w:r>
          </w:p>
          <w:p w14:paraId="70A5E0E6" w14:textId="77777777" w:rsidR="004E6A95" w:rsidRPr="00940960" w:rsidRDefault="004E6A95" w:rsidP="004E6A95">
            <w:pPr>
              <w:pStyle w:val="HeadingInfo"/>
              <w:spacing w:before="0" w:after="0"/>
              <w:rPr>
                <w:rFonts w:ascii="Calibri" w:hAnsi="Calibri"/>
                <w:sz w:val="22"/>
              </w:rPr>
            </w:pPr>
          </w:p>
          <w:p w14:paraId="26B1D67C" w14:textId="77777777" w:rsidR="004E6A95" w:rsidRDefault="004E6A95" w:rsidP="004E6A95">
            <w:pPr>
              <w:pStyle w:val="HeadingInfo"/>
              <w:spacing w:before="0"/>
              <w:rPr>
                <w:rFonts w:ascii="Calibri" w:hAnsi="Calibri"/>
                <w:b/>
                <w:sz w:val="22"/>
              </w:rPr>
            </w:pPr>
            <w:r w:rsidRPr="007A2311">
              <w:rPr>
                <w:rFonts w:ascii="Calibri" w:hAnsi="Calibri"/>
                <w:b/>
                <w:sz w:val="22"/>
              </w:rPr>
              <w:t>AREAS OF EXPERTISE</w:t>
            </w:r>
          </w:p>
          <w:p w14:paraId="0F7E2180" w14:textId="77777777" w:rsidR="004E6A95" w:rsidRDefault="004E6A95" w:rsidP="004E6A95">
            <w:pPr>
              <w:pStyle w:val="TablePointsBullets"/>
              <w:spacing w:before="0" w:after="0"/>
              <w:rPr>
                <w:rFonts w:ascii="Calibri" w:hAnsi="Calibri"/>
                <w:sz w:val="20"/>
              </w:rPr>
            </w:pPr>
            <w:r>
              <w:rPr>
                <w:rFonts w:ascii="Calibri" w:hAnsi="Calibri"/>
                <w:sz w:val="20"/>
              </w:rPr>
              <w:t xml:space="preserve">Conservation Biology of Freshwater Fishes and of Eurasian otter </w:t>
            </w:r>
          </w:p>
          <w:p w14:paraId="74D7E5CB" w14:textId="77777777" w:rsidR="004E6A95" w:rsidRPr="002643C5" w:rsidRDefault="004E6A95" w:rsidP="004E6A95">
            <w:pPr>
              <w:pStyle w:val="TablePointsBullets"/>
              <w:spacing w:before="0" w:after="0"/>
              <w:rPr>
                <w:rFonts w:ascii="Calibri" w:hAnsi="Calibri"/>
                <w:sz w:val="20"/>
              </w:rPr>
            </w:pPr>
            <w:r>
              <w:rPr>
                <w:rFonts w:ascii="Calibri" w:hAnsi="Calibri"/>
                <w:sz w:val="20"/>
              </w:rPr>
              <w:t>Invasion biology</w:t>
            </w:r>
          </w:p>
          <w:p w14:paraId="199782BA" w14:textId="77777777" w:rsidR="004E6A95" w:rsidRDefault="004E6A95" w:rsidP="004E6A95">
            <w:pPr>
              <w:pStyle w:val="TablePointsBullets"/>
              <w:spacing w:before="0" w:after="0"/>
              <w:rPr>
                <w:rFonts w:ascii="Calibri" w:hAnsi="Calibri"/>
                <w:sz w:val="20"/>
              </w:rPr>
            </w:pPr>
            <w:r>
              <w:rPr>
                <w:rFonts w:ascii="Calibri" w:hAnsi="Calibri"/>
                <w:sz w:val="20"/>
              </w:rPr>
              <w:t>Non-native Species Risk Ana</w:t>
            </w:r>
            <w:r w:rsidRPr="002643C5">
              <w:rPr>
                <w:rFonts w:ascii="Calibri" w:hAnsi="Calibri"/>
                <w:sz w:val="20"/>
              </w:rPr>
              <w:t>l</w:t>
            </w:r>
            <w:r>
              <w:rPr>
                <w:rFonts w:ascii="Calibri" w:hAnsi="Calibri"/>
                <w:sz w:val="20"/>
              </w:rPr>
              <w:t>ysis</w:t>
            </w:r>
          </w:p>
          <w:p w14:paraId="647ED549" w14:textId="77777777" w:rsidR="004E6A95" w:rsidRPr="002643C5" w:rsidRDefault="004E6A95" w:rsidP="004E6A95">
            <w:pPr>
              <w:pStyle w:val="TablePointsBullets"/>
              <w:spacing w:before="0" w:after="0"/>
              <w:rPr>
                <w:rFonts w:ascii="Calibri" w:hAnsi="Calibri"/>
                <w:sz w:val="20"/>
              </w:rPr>
            </w:pPr>
            <w:r>
              <w:rPr>
                <w:rFonts w:ascii="Calibri" w:hAnsi="Calibri"/>
                <w:sz w:val="20"/>
              </w:rPr>
              <w:t xml:space="preserve">Project Management </w:t>
            </w:r>
          </w:p>
          <w:p w14:paraId="70C948CD" w14:textId="77777777" w:rsidR="004E6A95" w:rsidRPr="00C55D6E" w:rsidRDefault="004E6A95" w:rsidP="004E6A95">
            <w:pPr>
              <w:pStyle w:val="TablePointsBullets"/>
              <w:numPr>
                <w:ilvl w:val="0"/>
                <w:numId w:val="0"/>
              </w:numPr>
              <w:spacing w:before="0" w:after="0"/>
              <w:ind w:left="284"/>
              <w:rPr>
                <w:rFonts w:ascii="Calibri" w:hAnsi="Calibri"/>
                <w:sz w:val="22"/>
              </w:rPr>
            </w:pPr>
          </w:p>
          <w:p w14:paraId="74FAE744" w14:textId="77777777" w:rsidR="004E6A95" w:rsidRDefault="004E6A95" w:rsidP="004E6A95">
            <w:pPr>
              <w:pStyle w:val="TablePointsBullets"/>
              <w:numPr>
                <w:ilvl w:val="0"/>
                <w:numId w:val="0"/>
              </w:numPr>
              <w:spacing w:before="0" w:after="120"/>
              <w:ind w:left="284" w:hanging="284"/>
              <w:rPr>
                <w:rFonts w:ascii="Calibri" w:hAnsi="Calibri"/>
                <w:b/>
                <w:sz w:val="22"/>
              </w:rPr>
            </w:pPr>
            <w:r w:rsidRPr="00C04FFF">
              <w:rPr>
                <w:rFonts w:ascii="Calibri" w:hAnsi="Calibri"/>
                <w:b/>
                <w:sz w:val="22"/>
              </w:rPr>
              <w:t>PUBLICATIONS</w:t>
            </w:r>
          </w:p>
          <w:p w14:paraId="58871336" w14:textId="77777777" w:rsidR="004E6A95" w:rsidRDefault="004E6A95" w:rsidP="004E6A95">
            <w:pPr>
              <w:pStyle w:val="ParaMargin"/>
              <w:spacing w:after="0"/>
              <w:rPr>
                <w:rFonts w:ascii="Calibri" w:hAnsi="Calibri"/>
              </w:rPr>
            </w:pPr>
            <w:r w:rsidRPr="002643C5">
              <w:rPr>
                <w:rFonts w:ascii="Calibri" w:hAnsi="Calibri"/>
              </w:rPr>
              <w:t xml:space="preserve">Published </w:t>
            </w:r>
            <w:r>
              <w:rPr>
                <w:rFonts w:ascii="Calibri" w:hAnsi="Calibri"/>
              </w:rPr>
              <w:t xml:space="preserve">over 190 articles in peer-reviewed journals </w:t>
            </w:r>
          </w:p>
          <w:p w14:paraId="50F8F407" w14:textId="77777777" w:rsidR="004E6A95" w:rsidRDefault="004E6A95" w:rsidP="004E6A95">
            <w:pPr>
              <w:pStyle w:val="ParaMargin"/>
              <w:spacing w:after="0"/>
              <w:rPr>
                <w:rFonts w:ascii="Calibri" w:hAnsi="Calibri"/>
              </w:rPr>
            </w:pPr>
          </w:p>
          <w:p w14:paraId="799C5C27" w14:textId="79B6A295" w:rsidR="005E1E4D" w:rsidRPr="00B56AD0" w:rsidRDefault="004E6A95" w:rsidP="004E6A95">
            <w:pPr>
              <w:pStyle w:val="ParaMargin"/>
              <w:spacing w:after="0"/>
              <w:rPr>
                <w:rFonts w:ascii="Calibri" w:hAnsi="Calibri"/>
              </w:rPr>
            </w:pPr>
            <w:r>
              <w:rPr>
                <w:rFonts w:ascii="Calibri" w:hAnsi="Calibri"/>
              </w:rPr>
              <w:t>Author of over 20 book chapters and web entries</w:t>
            </w:r>
          </w:p>
        </w:tc>
        <w:tc>
          <w:tcPr>
            <w:tcW w:w="425" w:type="dxa"/>
            <w:tcBorders>
              <w:top w:val="nil"/>
              <w:left w:val="nil"/>
              <w:bottom w:val="nil"/>
              <w:right w:val="nil"/>
            </w:tcBorders>
          </w:tcPr>
          <w:p w14:paraId="7E882A4B" w14:textId="77777777" w:rsidR="005E1E4D" w:rsidRPr="00C04FFF" w:rsidRDefault="005E1E4D" w:rsidP="002752E4">
            <w:pPr>
              <w:pStyle w:val="HeadingName"/>
              <w:ind w:left="113"/>
              <w:rPr>
                <w:b/>
                <w:color w:val="31849B"/>
                <w:sz w:val="32"/>
              </w:rPr>
            </w:pPr>
          </w:p>
        </w:tc>
        <w:tc>
          <w:tcPr>
            <w:tcW w:w="6582" w:type="dxa"/>
            <w:vMerge/>
            <w:tcBorders>
              <w:top w:val="nil"/>
              <w:left w:val="nil"/>
              <w:bottom w:val="nil"/>
              <w:right w:val="nil"/>
            </w:tcBorders>
          </w:tcPr>
          <w:p w14:paraId="48CB6F44" w14:textId="77777777" w:rsidR="005E1E4D" w:rsidRPr="00C04FFF" w:rsidRDefault="005E1E4D" w:rsidP="002752E4">
            <w:pPr>
              <w:pStyle w:val="HeadingName"/>
              <w:ind w:left="113"/>
              <w:rPr>
                <w:b/>
                <w:color w:val="31849B"/>
                <w:sz w:val="32"/>
              </w:rPr>
            </w:pPr>
          </w:p>
        </w:tc>
      </w:tr>
    </w:tbl>
    <w:p w14:paraId="051A0CA8" w14:textId="77777777" w:rsidR="005E1E4D" w:rsidRDefault="005E1E4D" w:rsidP="00755A0B"/>
    <w:sectPr w:rsidR="005E1E4D" w:rsidSect="002643C5">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460F" w14:textId="77777777" w:rsidR="00502BA7" w:rsidRPr="003B607B" w:rsidRDefault="00502BA7" w:rsidP="00352A1D">
      <w:pPr>
        <w:spacing w:after="0" w:line="240" w:lineRule="auto"/>
        <w:rPr>
          <w:sz w:val="20"/>
        </w:rPr>
      </w:pPr>
      <w:r>
        <w:separator/>
      </w:r>
    </w:p>
  </w:endnote>
  <w:endnote w:type="continuationSeparator" w:id="0">
    <w:p w14:paraId="2C96BDF7" w14:textId="77777777" w:rsidR="00502BA7" w:rsidRPr="003B607B" w:rsidRDefault="00502BA7" w:rsidP="00352A1D">
      <w:pPr>
        <w:spacing w:after="0" w:line="240" w:lineRule="auto"/>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0A0" w:firstRow="1" w:lastRow="0" w:firstColumn="1" w:lastColumn="0" w:noHBand="0" w:noVBand="0"/>
    </w:tblPr>
    <w:tblGrid>
      <w:gridCol w:w="9026"/>
    </w:tblGrid>
    <w:tr w:rsidR="00DA1A87" w:rsidRPr="007336B1" w14:paraId="62CC256B" w14:textId="77777777">
      <w:tc>
        <w:tcPr>
          <w:tcW w:w="9855" w:type="dxa"/>
          <w:tcBorders>
            <w:top w:val="nil"/>
            <w:left w:val="nil"/>
            <w:bottom w:val="nil"/>
            <w:right w:val="nil"/>
          </w:tcBorders>
          <w:shd w:val="clear" w:color="auto" w:fill="92CDDC"/>
        </w:tcPr>
        <w:p w14:paraId="6B1A1608" w14:textId="77777777" w:rsidR="00DA1A87" w:rsidRDefault="00DA1A87" w:rsidP="006D54AF">
          <w:pPr>
            <w:pStyle w:val="FooterWhite"/>
            <w:spacing w:before="120"/>
          </w:pPr>
          <w:r>
            <w:rPr>
              <w:b/>
              <w:sz w:val="24"/>
            </w:rPr>
            <w:t>P</w:t>
          </w:r>
          <w:r w:rsidRPr="003B607B">
            <w:rPr>
              <w:b/>
              <w:sz w:val="24"/>
            </w:rPr>
            <w:t>r</w:t>
          </w:r>
          <w:r>
            <w:rPr>
              <w:b/>
              <w:sz w:val="24"/>
            </w:rPr>
            <w:t>of.</w:t>
          </w:r>
          <w:r w:rsidRPr="003B607B">
            <w:rPr>
              <w:b/>
              <w:sz w:val="24"/>
            </w:rPr>
            <w:t xml:space="preserve"> </w:t>
          </w:r>
          <w:r>
            <w:rPr>
              <w:b/>
              <w:sz w:val="24"/>
            </w:rPr>
            <w:t>Gordon H. Copp</w:t>
          </w:r>
        </w:p>
      </w:tc>
    </w:tr>
  </w:tbl>
  <w:p w14:paraId="4CC46518" w14:textId="77777777" w:rsidR="00DA1A87" w:rsidRDefault="00DA1A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75E6" w14:textId="77777777" w:rsidR="00502BA7" w:rsidRPr="003B607B" w:rsidRDefault="00502BA7" w:rsidP="00352A1D">
      <w:pPr>
        <w:spacing w:after="0" w:line="240" w:lineRule="auto"/>
        <w:rPr>
          <w:sz w:val="20"/>
        </w:rPr>
      </w:pPr>
      <w:r>
        <w:separator/>
      </w:r>
    </w:p>
  </w:footnote>
  <w:footnote w:type="continuationSeparator" w:id="0">
    <w:p w14:paraId="01F53A3B" w14:textId="77777777" w:rsidR="00502BA7" w:rsidRPr="003B607B" w:rsidRDefault="00502BA7" w:rsidP="00352A1D">
      <w:pPr>
        <w:spacing w:after="0" w:line="240" w:lineRule="auto"/>
        <w:rPr>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12EA" w14:textId="181CA1F0" w:rsidR="00DA1A87" w:rsidRDefault="00DA1A87">
    <w:pPr>
      <w:pStyle w:val="Encabezado"/>
    </w:pPr>
    <w:r>
      <w:rPr>
        <w:noProof/>
        <w:lang w:val="en-US"/>
      </w:rPr>
      <w:drawing>
        <wp:anchor distT="0" distB="0" distL="114300" distR="114300" simplePos="0" relativeHeight="251657728" behindDoc="1" locked="0" layoutInCell="1" allowOverlap="1" wp14:anchorId="3B93BD32" wp14:editId="5435341A">
          <wp:simplePos x="0" y="0"/>
          <wp:positionH relativeFrom="page">
            <wp:posOffset>5028565</wp:posOffset>
          </wp:positionH>
          <wp:positionV relativeFrom="page">
            <wp:posOffset>294005</wp:posOffset>
          </wp:positionV>
          <wp:extent cx="2040255" cy="596265"/>
          <wp:effectExtent l="0" t="0" r="0" b="0"/>
          <wp:wrapNone/>
          <wp:docPr id="1"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596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C2D"/>
    <w:multiLevelType w:val="hybridMultilevel"/>
    <w:tmpl w:val="A3AC8EDC"/>
    <w:lvl w:ilvl="0" w:tplc="426C8216">
      <w:start w:val="1"/>
      <w:numFmt w:val="bullet"/>
      <w:pStyle w:val="TablePointsBullets"/>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E1B52"/>
    <w:multiLevelType w:val="multilevel"/>
    <w:tmpl w:val="91EEF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5A4613"/>
    <w:multiLevelType w:val="hybridMultilevel"/>
    <w:tmpl w:val="FC84FD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1D"/>
    <w:rsid w:val="0001490E"/>
    <w:rsid w:val="00051FB9"/>
    <w:rsid w:val="000961D1"/>
    <w:rsid w:val="000B2F03"/>
    <w:rsid w:val="000D042C"/>
    <w:rsid w:val="000F7C6B"/>
    <w:rsid w:val="0010088B"/>
    <w:rsid w:val="001206EB"/>
    <w:rsid w:val="00152E59"/>
    <w:rsid w:val="00155C11"/>
    <w:rsid w:val="00157873"/>
    <w:rsid w:val="001730BD"/>
    <w:rsid w:val="00176D99"/>
    <w:rsid w:val="0019573A"/>
    <w:rsid w:val="001A5268"/>
    <w:rsid w:val="001D04E0"/>
    <w:rsid w:val="001F619C"/>
    <w:rsid w:val="001F6F55"/>
    <w:rsid w:val="00234B01"/>
    <w:rsid w:val="002354A2"/>
    <w:rsid w:val="002643C5"/>
    <w:rsid w:val="00266324"/>
    <w:rsid w:val="002752E4"/>
    <w:rsid w:val="002C5718"/>
    <w:rsid w:val="002F0649"/>
    <w:rsid w:val="002F6B29"/>
    <w:rsid w:val="003041C7"/>
    <w:rsid w:val="00306419"/>
    <w:rsid w:val="00352A1D"/>
    <w:rsid w:val="00374F71"/>
    <w:rsid w:val="003B607B"/>
    <w:rsid w:val="003E3489"/>
    <w:rsid w:val="00403075"/>
    <w:rsid w:val="00451248"/>
    <w:rsid w:val="004D46A9"/>
    <w:rsid w:val="004E0684"/>
    <w:rsid w:val="004E6A95"/>
    <w:rsid w:val="00502BA7"/>
    <w:rsid w:val="00541DD7"/>
    <w:rsid w:val="00556828"/>
    <w:rsid w:val="005E1E4D"/>
    <w:rsid w:val="005E7D28"/>
    <w:rsid w:val="005F1AC3"/>
    <w:rsid w:val="00633BB1"/>
    <w:rsid w:val="0063749B"/>
    <w:rsid w:val="0066231A"/>
    <w:rsid w:val="00696342"/>
    <w:rsid w:val="006D54AF"/>
    <w:rsid w:val="006E30F4"/>
    <w:rsid w:val="006E6C38"/>
    <w:rsid w:val="007150E1"/>
    <w:rsid w:val="007336B1"/>
    <w:rsid w:val="0075236D"/>
    <w:rsid w:val="00755A0B"/>
    <w:rsid w:val="007A131C"/>
    <w:rsid w:val="007A2311"/>
    <w:rsid w:val="007C3C56"/>
    <w:rsid w:val="007C5885"/>
    <w:rsid w:val="007D7CC1"/>
    <w:rsid w:val="00801B6C"/>
    <w:rsid w:val="00846032"/>
    <w:rsid w:val="00867322"/>
    <w:rsid w:val="00870C8F"/>
    <w:rsid w:val="008A2D5B"/>
    <w:rsid w:val="008A4AF1"/>
    <w:rsid w:val="008B0516"/>
    <w:rsid w:val="008B4A0E"/>
    <w:rsid w:val="008F2B8F"/>
    <w:rsid w:val="008F2C95"/>
    <w:rsid w:val="00900C2E"/>
    <w:rsid w:val="0091106E"/>
    <w:rsid w:val="009146C8"/>
    <w:rsid w:val="00914712"/>
    <w:rsid w:val="00940960"/>
    <w:rsid w:val="009A3379"/>
    <w:rsid w:val="009C7B86"/>
    <w:rsid w:val="00A265E0"/>
    <w:rsid w:val="00A31067"/>
    <w:rsid w:val="00A346E5"/>
    <w:rsid w:val="00A3522D"/>
    <w:rsid w:val="00A5765B"/>
    <w:rsid w:val="00AC4261"/>
    <w:rsid w:val="00B56AD0"/>
    <w:rsid w:val="00B726C3"/>
    <w:rsid w:val="00B7397D"/>
    <w:rsid w:val="00B93B3D"/>
    <w:rsid w:val="00B96CDA"/>
    <w:rsid w:val="00BA5227"/>
    <w:rsid w:val="00BD1F01"/>
    <w:rsid w:val="00BE216E"/>
    <w:rsid w:val="00C04FFF"/>
    <w:rsid w:val="00C35470"/>
    <w:rsid w:val="00C55D6E"/>
    <w:rsid w:val="00C72ABD"/>
    <w:rsid w:val="00C874BB"/>
    <w:rsid w:val="00CD4543"/>
    <w:rsid w:val="00D53B56"/>
    <w:rsid w:val="00D55424"/>
    <w:rsid w:val="00DA1A87"/>
    <w:rsid w:val="00DE742F"/>
    <w:rsid w:val="00DF40AB"/>
    <w:rsid w:val="00DF5AC3"/>
    <w:rsid w:val="00E036FF"/>
    <w:rsid w:val="00E33D59"/>
    <w:rsid w:val="00E44AA9"/>
    <w:rsid w:val="00E63A4B"/>
    <w:rsid w:val="00ED753D"/>
    <w:rsid w:val="00ED754A"/>
    <w:rsid w:val="00F34C59"/>
    <w:rsid w:val="00F60016"/>
    <w:rsid w:val="00F60B1C"/>
    <w:rsid w:val="00F60BA6"/>
    <w:rsid w:val="00F639CE"/>
    <w:rsid w:val="00F7321C"/>
    <w:rsid w:val="00F90421"/>
    <w:rsid w:val="00FF1BA3"/>
    <w:rsid w:val="00FF2977"/>
    <w:rsid w:val="00FF3F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7CD2D"/>
  <w15:docId w15:val="{9CF3E565-FE06-49E5-B697-13BD614A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CDA"/>
    <w:pPr>
      <w:spacing w:after="200" w:line="276" w:lineRule="auto"/>
    </w:pPr>
    <w:rPr>
      <w:sz w:val="22"/>
      <w:szCs w:val="22"/>
    </w:rPr>
  </w:style>
  <w:style w:type="paragraph" w:styleId="Ttulo4">
    <w:name w:val="heading 4"/>
    <w:basedOn w:val="Normal"/>
    <w:next w:val="Normal"/>
    <w:link w:val="Ttulo4Car"/>
    <w:uiPriority w:val="99"/>
    <w:qFormat/>
    <w:rsid w:val="002752E4"/>
    <w:pPr>
      <w:keepNext/>
      <w:keepLines/>
      <w:spacing w:before="200" w:after="0"/>
      <w:outlineLvl w:val="3"/>
    </w:pPr>
    <w:rPr>
      <w:rFonts w:ascii="Cambria" w:eastAsia="MS Gothic"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2752E4"/>
    <w:rPr>
      <w:rFonts w:ascii="Cambria" w:eastAsia="MS Gothic" w:hAnsi="Cambria" w:cs="Times New Roman"/>
      <w:b/>
      <w:bCs/>
      <w:i/>
      <w:iCs/>
      <w:color w:val="4F81BD"/>
    </w:rPr>
  </w:style>
  <w:style w:type="table" w:styleId="Tablaconcuadrcula">
    <w:name w:val="Table Grid"/>
    <w:basedOn w:val="Tablanormal"/>
    <w:uiPriority w:val="99"/>
    <w:rsid w:val="0035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52A1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52A1D"/>
    <w:rPr>
      <w:rFonts w:cs="Times New Roman"/>
    </w:rPr>
  </w:style>
  <w:style w:type="paragraph" w:styleId="Piedepgina">
    <w:name w:val="footer"/>
    <w:basedOn w:val="Normal"/>
    <w:link w:val="PiedepginaCar"/>
    <w:uiPriority w:val="99"/>
    <w:semiHidden/>
    <w:rsid w:val="00352A1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52A1D"/>
    <w:rPr>
      <w:rFonts w:cs="Times New Roman"/>
    </w:rPr>
  </w:style>
  <w:style w:type="paragraph" w:customStyle="1" w:styleId="FooterWhite">
    <w:name w:val="_FooterWhite"/>
    <w:basedOn w:val="Normal"/>
    <w:uiPriority w:val="99"/>
    <w:rsid w:val="00352A1D"/>
    <w:pPr>
      <w:spacing w:before="20" w:after="0" w:line="240" w:lineRule="auto"/>
    </w:pPr>
    <w:rPr>
      <w:rFonts w:ascii="Arial" w:eastAsia="Times New Roman" w:hAnsi="Arial"/>
      <w:color w:val="FFFFFF"/>
      <w:sz w:val="16"/>
      <w:szCs w:val="20"/>
    </w:rPr>
  </w:style>
  <w:style w:type="paragraph" w:styleId="Textodeglobo">
    <w:name w:val="Balloon Text"/>
    <w:basedOn w:val="Normal"/>
    <w:link w:val="TextodegloboCar"/>
    <w:uiPriority w:val="99"/>
    <w:semiHidden/>
    <w:rsid w:val="00352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A1D"/>
    <w:rPr>
      <w:rFonts w:ascii="Tahoma" w:hAnsi="Tahoma" w:cs="Tahoma"/>
      <w:sz w:val="16"/>
    </w:rPr>
  </w:style>
  <w:style w:type="paragraph" w:customStyle="1" w:styleId="ParaIntroduction">
    <w:name w:val="_ParaIntroduction"/>
    <w:basedOn w:val="Normal"/>
    <w:uiPriority w:val="99"/>
    <w:rsid w:val="00352A1D"/>
    <w:pPr>
      <w:spacing w:before="120" w:after="240" w:line="260" w:lineRule="atLeast"/>
    </w:pPr>
    <w:rPr>
      <w:rFonts w:ascii="Arial" w:eastAsia="Times New Roman" w:hAnsi="Arial"/>
      <w:sz w:val="24"/>
      <w:szCs w:val="20"/>
    </w:rPr>
  </w:style>
  <w:style w:type="paragraph" w:customStyle="1" w:styleId="HeadingName">
    <w:name w:val="_HeadingName"/>
    <w:basedOn w:val="Normal"/>
    <w:uiPriority w:val="99"/>
    <w:rsid w:val="00352A1D"/>
    <w:pPr>
      <w:keepNext/>
      <w:spacing w:after="0" w:line="260" w:lineRule="atLeast"/>
    </w:pPr>
    <w:rPr>
      <w:rFonts w:ascii="Arial" w:eastAsia="Times New Roman" w:hAnsi="Arial"/>
      <w:color w:val="00519E"/>
      <w:sz w:val="44"/>
      <w:szCs w:val="20"/>
    </w:rPr>
  </w:style>
  <w:style w:type="paragraph" w:customStyle="1" w:styleId="HeadingInfo">
    <w:name w:val="_HeadingInfo"/>
    <w:basedOn w:val="Normal"/>
    <w:uiPriority w:val="99"/>
    <w:rsid w:val="002752E4"/>
    <w:pPr>
      <w:spacing w:before="120" w:after="120" w:line="260" w:lineRule="atLeast"/>
    </w:pPr>
    <w:rPr>
      <w:rFonts w:ascii="Arial" w:eastAsia="Times New Roman" w:hAnsi="Arial"/>
      <w:sz w:val="24"/>
      <w:szCs w:val="20"/>
    </w:rPr>
  </w:style>
  <w:style w:type="paragraph" w:customStyle="1" w:styleId="ParaMargin">
    <w:name w:val="_ParaMargin"/>
    <w:basedOn w:val="Normal"/>
    <w:uiPriority w:val="99"/>
    <w:rsid w:val="002752E4"/>
    <w:pPr>
      <w:spacing w:after="240" w:line="260" w:lineRule="atLeast"/>
    </w:pPr>
    <w:rPr>
      <w:rFonts w:ascii="Arial" w:eastAsia="Times New Roman" w:hAnsi="Arial"/>
      <w:sz w:val="20"/>
      <w:szCs w:val="20"/>
    </w:rPr>
  </w:style>
  <w:style w:type="paragraph" w:customStyle="1" w:styleId="Heading4">
    <w:name w:val="_Heading4"/>
    <w:basedOn w:val="Ttulo4"/>
    <w:next w:val="Normal"/>
    <w:uiPriority w:val="99"/>
    <w:rsid w:val="002752E4"/>
    <w:pPr>
      <w:keepLines w:val="0"/>
      <w:tabs>
        <w:tab w:val="left" w:pos="1134"/>
      </w:tabs>
      <w:spacing w:before="120" w:after="120" w:line="260" w:lineRule="atLeast"/>
      <w:ind w:left="1134"/>
    </w:pPr>
    <w:rPr>
      <w:rFonts w:ascii="Arial" w:eastAsia="Times New Roman" w:hAnsi="Arial" w:cs="Arial"/>
      <w:b w:val="0"/>
      <w:bCs w:val="0"/>
      <w:i w:val="0"/>
      <w:iCs w:val="0"/>
      <w:color w:val="495F70"/>
      <w:sz w:val="28"/>
      <w:szCs w:val="20"/>
    </w:rPr>
  </w:style>
  <w:style w:type="paragraph" w:customStyle="1" w:styleId="TablePointsBullets">
    <w:name w:val="_TablePointsBullets"/>
    <w:basedOn w:val="Normal"/>
    <w:uiPriority w:val="99"/>
    <w:rsid w:val="002752E4"/>
    <w:pPr>
      <w:numPr>
        <w:numId w:val="1"/>
      </w:numPr>
      <w:spacing w:before="60" w:after="60" w:line="260" w:lineRule="atLeast"/>
    </w:pPr>
    <w:rPr>
      <w:rFonts w:ascii="Arial" w:eastAsia="Times New Roman" w:hAnsi="Arial"/>
      <w:sz w:val="18"/>
      <w:szCs w:val="20"/>
    </w:rPr>
  </w:style>
  <w:style w:type="paragraph" w:customStyle="1" w:styleId="HeadingSub">
    <w:name w:val="_HeadingSub"/>
    <w:basedOn w:val="ParaMargin"/>
    <w:next w:val="ParaMargin"/>
    <w:uiPriority w:val="99"/>
    <w:rsid w:val="00F34C59"/>
    <w:pPr>
      <w:keepNext/>
      <w:spacing w:before="120" w:after="120"/>
    </w:pPr>
    <w:rPr>
      <w:color w:val="495F70"/>
      <w:sz w:val="40"/>
    </w:rPr>
  </w:style>
  <w:style w:type="paragraph" w:customStyle="1" w:styleId="HeadingMinor">
    <w:name w:val="_HeadingMinor"/>
    <w:basedOn w:val="ParaMargin"/>
    <w:next w:val="ParaMargin"/>
    <w:uiPriority w:val="99"/>
    <w:rsid w:val="00F34C59"/>
    <w:pPr>
      <w:keepNext/>
      <w:spacing w:before="240" w:after="120"/>
    </w:pPr>
    <w:rPr>
      <w:b/>
    </w:rPr>
  </w:style>
  <w:style w:type="paragraph" w:customStyle="1" w:styleId="Ctext">
    <w:name w:val="Ctext"/>
    <w:basedOn w:val="Normal"/>
    <w:uiPriority w:val="99"/>
    <w:rsid w:val="00F34C59"/>
    <w:pPr>
      <w:suppressAutoHyphens/>
      <w:spacing w:before="120" w:after="0" w:line="360" w:lineRule="auto"/>
      <w:jc w:val="both"/>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3281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CEFAS</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kk03</dc:creator>
  <cp:keywords/>
  <cp:lastModifiedBy>Carolina Alonso</cp:lastModifiedBy>
  <cp:revision>2</cp:revision>
  <dcterms:created xsi:type="dcterms:W3CDTF">2019-07-01T13:36:00Z</dcterms:created>
  <dcterms:modified xsi:type="dcterms:W3CDTF">2019-07-01T13:36:00Z</dcterms:modified>
</cp:coreProperties>
</file>